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8" w:leftChars="4"/>
        <w:jc w:val="center"/>
        <w:rPr>
          <w:rFonts w:hint="eastAsia" w:ascii="ＭＳ 明朝" w:hAnsi="ＭＳ 明朝"/>
          <w:sz w:val="22"/>
        </w:rPr>
      </w:pPr>
      <w:r>
        <w:rPr>
          <w:rFonts w:hint="eastAsia" w:ascii="ＭＳ 明朝" w:hAnsi="ＭＳ 明朝"/>
          <w:b w:val="1"/>
          <w:sz w:val="24"/>
        </w:rPr>
        <w:t>福崎町セミセルフレジシステム等導入に係る公募型プロポーザル審査要領</w:t>
      </w:r>
    </w:p>
    <w:p>
      <w:pPr>
        <w:pStyle w:val="0"/>
        <w:ind w:left="8" w:leftChars="4"/>
        <w:jc w:val="center"/>
        <w:rPr>
          <w:rFonts w:hint="eastAsia" w:ascii="ＭＳ 明朝" w:hAnsi="ＭＳ 明朝"/>
          <w:sz w:val="22"/>
        </w:rPr>
      </w:pPr>
    </w:p>
    <w:p>
      <w:pPr>
        <w:pStyle w:val="0"/>
        <w:ind w:left="8" w:leftChars="4"/>
        <w:rPr>
          <w:rFonts w:hint="eastAsia" w:ascii="ＭＳ 明朝" w:hAnsi="ＭＳ 明朝"/>
          <w:sz w:val="22"/>
        </w:rPr>
      </w:pPr>
      <w:r>
        <w:rPr>
          <w:rFonts w:hint="eastAsia" w:ascii="ＭＳ 明朝" w:hAnsi="ＭＳ 明朝"/>
          <w:sz w:val="22"/>
        </w:rPr>
        <w:t>　セミセルフレジシステム等導入に係る公募型プロポーザル審査は、事業者名を伏した提案書等を下記のとおり審査・評価するものとする。</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１．審査の対象事業者</w:t>
      </w:r>
    </w:p>
    <w:p>
      <w:pPr>
        <w:pStyle w:val="0"/>
        <w:ind w:left="239" w:leftChars="114" w:firstLine="220" w:firstLineChars="100"/>
        <w:rPr>
          <w:rFonts w:hint="eastAsia" w:ascii="ＭＳ 明朝" w:hAnsi="ＭＳ 明朝"/>
          <w:sz w:val="22"/>
        </w:rPr>
      </w:pPr>
      <w:r>
        <w:rPr>
          <w:rFonts w:hint="eastAsia" w:ascii="ＭＳ 明朝" w:hAnsi="ＭＳ 明朝"/>
          <w:sz w:val="22"/>
        </w:rPr>
        <w:t>審査の対象事業者は次の（１）から（３）に掲げる条件をすべて満たし、一つでも満たない場合は審査の対象事業者に該当しないものとする。なお、参加申込書及び提案書等を提出したものが１者の場合でも本プロポーザル方式の審査は実施する。</w:t>
      </w:r>
    </w:p>
    <w:p>
      <w:pPr>
        <w:pStyle w:val="0"/>
        <w:ind w:left="0" w:leftChars="0" w:hanging="660" w:hangingChars="300"/>
        <w:rPr>
          <w:rFonts w:hint="eastAsia" w:ascii="ＭＳ 明朝" w:hAnsi="ＭＳ 明朝"/>
          <w:sz w:val="22"/>
        </w:rPr>
      </w:pPr>
      <w:r>
        <w:rPr>
          <w:rFonts w:hint="eastAsia" w:ascii="ＭＳ 明朝" w:hAnsi="ＭＳ 明朝"/>
          <w:sz w:val="22"/>
        </w:rPr>
        <w:t>（１）</w:t>
      </w:r>
      <w:r>
        <w:rPr>
          <w:rFonts w:hint="eastAsia" w:ascii="ＭＳ 明朝" w:hAnsi="ＭＳ 明朝" w:eastAsia="ＭＳ 明朝"/>
          <w:sz w:val="22"/>
        </w:rPr>
        <w:t>福崎町</w:t>
      </w:r>
      <w:r>
        <w:rPr>
          <w:rFonts w:hint="eastAsia" w:ascii="ＭＳ 明朝" w:hAnsi="ＭＳ 明朝"/>
          <w:sz w:val="22"/>
        </w:rPr>
        <w:t>セミセルフレジシステム等導入業務公募型プロポーザル実施要領に基づく参加資格を有すること。</w:t>
      </w:r>
    </w:p>
    <w:p>
      <w:pPr>
        <w:pStyle w:val="0"/>
        <w:ind w:left="0" w:leftChars="0" w:hanging="660" w:hangingChars="300"/>
        <w:rPr>
          <w:rFonts w:hint="eastAsia" w:ascii="ＭＳ 明朝" w:hAnsi="ＭＳ 明朝"/>
          <w:sz w:val="22"/>
        </w:rPr>
      </w:pPr>
      <w:r>
        <w:rPr>
          <w:rFonts w:hint="eastAsia" w:ascii="ＭＳ 明朝" w:hAnsi="ＭＳ 明朝"/>
          <w:sz w:val="22"/>
        </w:rPr>
        <w:t>（２）提出した企画提案書等の各種書類のうち審査に使用する書類は、社名、社章、製品名等、事業者を特定させる文言等を使用していないこと。</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２．審査の項目・配点</w:t>
      </w:r>
    </w:p>
    <w:p>
      <w:pPr>
        <w:pStyle w:val="18"/>
        <w:shd w:val="clear" w:color="auto" w:fill="FFFEFA"/>
        <w:spacing w:line="337" w:lineRule="atLeast"/>
        <w:ind w:left="210" w:leftChars="100" w:right="300" w:firstLine="220" w:firstLineChars="100"/>
        <w:jc w:val="left"/>
        <w:rPr>
          <w:rFonts w:hint="eastAsia" w:ascii="ＭＳ 明朝" w:hAnsi="ＭＳ 明朝"/>
          <w:sz w:val="22"/>
        </w:rPr>
      </w:pPr>
      <w:bookmarkStart w:id="0" w:name="OLE_LINK1"/>
      <w:r>
        <w:rPr>
          <w:rFonts w:hint="eastAsia" w:ascii="ＭＳ 明朝" w:hAnsi="ＭＳ 明朝" w:eastAsia="ＭＳ 明朝"/>
          <w:sz w:val="22"/>
        </w:rPr>
        <w:t>審査の項目及び配点は次のとおりとする。</w:t>
      </w:r>
      <w:bookmarkEnd w:id="0"/>
    </w:p>
    <w:tbl>
      <w:tblPr>
        <w:tblStyle w:val="11"/>
        <w:tblW w:w="0" w:type="auto"/>
        <w:jc w:val="left"/>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5924"/>
        <w:gridCol w:w="1560"/>
      </w:tblGrid>
      <w:tr>
        <w:trPr/>
        <w:tc>
          <w:tcPr>
            <w:tcW w:w="5924"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審査項目</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配点</w:t>
            </w:r>
          </w:p>
        </w:tc>
      </w:tr>
      <w:tr>
        <w:trPr/>
        <w:tc>
          <w:tcPr>
            <w:tcW w:w="59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sz w:val="22"/>
              </w:rPr>
              <w:t>（１）企画提案書及びプレゼンテーションに基づく評価</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70</w:t>
            </w:r>
          </w:p>
        </w:tc>
      </w:tr>
      <w:tr>
        <w:trPr/>
        <w:tc>
          <w:tcPr>
            <w:tcW w:w="59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sz w:val="22"/>
              </w:rPr>
              <w:t>（２）経費見積書による評価（価格評価）</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30</w:t>
            </w:r>
          </w:p>
        </w:tc>
      </w:tr>
      <w:tr>
        <w:trPr/>
        <w:tc>
          <w:tcPr>
            <w:tcW w:w="59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合　　計</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100</w:t>
            </w:r>
          </w:p>
        </w:tc>
      </w:tr>
    </w:tbl>
    <w:p>
      <w:pPr>
        <w:pStyle w:val="18"/>
        <w:shd w:val="clear" w:color="auto" w:fill="FFFEFA"/>
        <w:spacing w:line="337" w:lineRule="atLeast"/>
        <w:ind w:left="210" w:leftChars="100" w:right="300" w:firstLine="220" w:firstLineChars="100"/>
        <w:jc w:val="left"/>
        <w:rPr>
          <w:rFonts w:hint="eastAsia" w:ascii="ＭＳ 明朝" w:hAnsi="ＭＳ 明朝"/>
          <w:sz w:val="22"/>
        </w:rPr>
      </w:pPr>
    </w:p>
    <w:p>
      <w:pPr>
        <w:pStyle w:val="18"/>
        <w:shd w:val="clear" w:color="auto" w:fill="FFFEFA"/>
        <w:spacing w:line="337" w:lineRule="atLeast"/>
        <w:ind w:left="210" w:leftChars="100" w:right="300" w:firstLine="220" w:firstLineChars="100"/>
        <w:jc w:val="left"/>
        <w:rPr>
          <w:rFonts w:hint="eastAsia" w:ascii="ＭＳ 明朝" w:hAnsi="ＭＳ 明朝"/>
          <w:sz w:val="22"/>
        </w:rPr>
      </w:pPr>
    </w:p>
    <w:p>
      <w:pPr>
        <w:pStyle w:val="0"/>
        <w:rPr>
          <w:rFonts w:hint="eastAsia" w:ascii="ＭＳ 明朝" w:hAnsi="ＭＳ 明朝"/>
          <w:color w:val="000000" w:themeColor="text1"/>
          <w:sz w:val="22"/>
        </w:rPr>
      </w:pPr>
      <w:r>
        <w:rPr>
          <w:rFonts w:hint="eastAsia" w:ascii="ＭＳ 明朝" w:hAnsi="ＭＳ 明朝"/>
          <w:color w:val="000000" w:themeColor="text1"/>
          <w:sz w:val="22"/>
        </w:rPr>
        <w:t>３．審査方法</w:t>
      </w:r>
    </w:p>
    <w:p>
      <w:pPr>
        <w:pStyle w:val="0"/>
        <w:rPr>
          <w:rFonts w:hint="eastAsia" w:ascii="ＭＳ 明朝" w:hAnsi="ＭＳ 明朝"/>
          <w:color w:val="000000" w:themeColor="text1"/>
          <w:sz w:val="22"/>
        </w:rPr>
      </w:pPr>
      <w:r>
        <w:rPr>
          <w:rFonts w:hint="eastAsia" w:ascii="ＭＳ 明朝" w:hAnsi="ＭＳ 明朝"/>
          <w:color w:val="000000" w:themeColor="text1"/>
          <w:sz w:val="22"/>
        </w:rPr>
        <w:t>（１）企画提案書及びプレゼンテーションの評価方法（</w:t>
      </w:r>
      <w:r>
        <w:rPr>
          <w:rFonts w:hint="eastAsia" w:ascii="ＭＳ 明朝" w:hAnsi="ＭＳ 明朝"/>
          <w:color w:val="000000" w:themeColor="text1"/>
          <w:sz w:val="22"/>
        </w:rPr>
        <w:t>70</w:t>
      </w:r>
      <w:r>
        <w:rPr>
          <w:rFonts w:hint="eastAsia" w:ascii="ＭＳ 明朝" w:hAnsi="ＭＳ 明朝"/>
          <w:color w:val="000000" w:themeColor="text1"/>
          <w:sz w:val="22"/>
        </w:rPr>
        <w:t>点）</w:t>
      </w:r>
    </w:p>
    <w:p>
      <w:pPr>
        <w:pStyle w:val="0"/>
        <w:ind w:left="440" w:hanging="440" w:hangingChars="200"/>
        <w:rPr>
          <w:rFonts w:hint="eastAsia" w:ascii="ＭＳ 明朝" w:hAnsi="ＭＳ 明朝"/>
          <w:color w:val="000000" w:themeColor="text1"/>
          <w:sz w:val="22"/>
        </w:rPr>
      </w:pPr>
      <w:r>
        <w:rPr>
          <w:rFonts w:hint="eastAsia" w:ascii="ＭＳ 明朝" w:hAnsi="ＭＳ 明朝"/>
          <w:color w:val="000000" w:themeColor="text1"/>
          <w:sz w:val="22"/>
        </w:rPr>
        <w:t>　　　審査員は、企画提案書及びプレゼンテーション内容を別表第１「企画提案書及びプレゼンテーションに基づく評価基準」に基づき各審査項目に対して評価点を付し、その合計点を合計評価点とする。各審査員の合計評価点が、審査対象事業者の企画提案書に基づく評価点とする。</w:t>
      </w:r>
    </w:p>
    <w:p>
      <w:pPr>
        <w:pStyle w:val="0"/>
        <w:ind w:left="440" w:hanging="440" w:hangingChars="200"/>
        <w:rPr>
          <w:rFonts w:hint="eastAsia" w:ascii="ＭＳ 明朝" w:hAnsi="ＭＳ 明朝"/>
          <w:color w:val="000000" w:themeColor="text1"/>
          <w:sz w:val="22"/>
        </w:rPr>
      </w:pPr>
      <w:r>
        <w:rPr>
          <w:rFonts w:hint="eastAsia" w:ascii="ＭＳ 明朝" w:hAnsi="ＭＳ 明朝"/>
          <w:color w:val="000000" w:themeColor="text1"/>
          <w:sz w:val="22"/>
        </w:rPr>
        <w:t>　　　プレゼンテーション（</w:t>
      </w:r>
      <w:r>
        <w:rPr>
          <w:rFonts w:hint="eastAsia" w:ascii="ＭＳ 明朝" w:hAnsi="ＭＳ 明朝"/>
          <w:color w:val="000000" w:themeColor="text1"/>
          <w:sz w:val="22"/>
        </w:rPr>
        <w:t>20</w:t>
      </w:r>
      <w:r>
        <w:rPr>
          <w:rFonts w:hint="eastAsia" w:ascii="ＭＳ 明朝" w:hAnsi="ＭＳ 明朝"/>
          <w:color w:val="000000" w:themeColor="text1"/>
          <w:sz w:val="22"/>
        </w:rPr>
        <w:t>分以内）及び質疑応答（</w:t>
      </w:r>
      <w:r>
        <w:rPr>
          <w:rFonts w:hint="eastAsia" w:ascii="ＭＳ 明朝" w:hAnsi="ＭＳ 明朝"/>
          <w:color w:val="000000" w:themeColor="text1"/>
          <w:sz w:val="22"/>
        </w:rPr>
        <w:t>10</w:t>
      </w:r>
      <w:r>
        <w:rPr>
          <w:rFonts w:hint="eastAsia" w:ascii="ＭＳ 明朝" w:hAnsi="ＭＳ 明朝"/>
          <w:color w:val="000000" w:themeColor="text1"/>
          <w:sz w:val="22"/>
        </w:rPr>
        <w:t>分）とする。</w:t>
      </w:r>
    </w:p>
    <w:p>
      <w:pPr>
        <w:pStyle w:val="0"/>
        <w:ind w:left="440" w:hanging="440" w:hangingChars="200"/>
        <w:rPr>
          <w:rFonts w:hint="eastAsia" w:ascii="ＭＳ 明朝" w:hAnsi="ＭＳ 明朝"/>
          <w:color w:val="000000" w:themeColor="text1"/>
          <w:sz w:val="22"/>
        </w:rPr>
      </w:pPr>
      <w:r>
        <w:rPr>
          <w:rFonts w:hint="eastAsia" w:ascii="ＭＳ 明朝" w:hAnsi="ＭＳ 明朝"/>
          <w:color w:val="000000" w:themeColor="text1"/>
          <w:sz w:val="22"/>
        </w:rPr>
        <w:t>　　　なお、次のいずれかに該当する場合は審査対象から除外する。</w:t>
      </w:r>
    </w:p>
    <w:p>
      <w:pPr>
        <w:pStyle w:val="0"/>
        <w:ind w:left="420" w:leftChars="200" w:firstLine="220" w:firstLineChars="100"/>
        <w:jc w:val="left"/>
        <w:rPr>
          <w:rFonts w:hint="eastAsia" w:ascii="ＭＳ 明朝" w:hAnsi="ＭＳ 明朝"/>
          <w:color w:val="000000" w:themeColor="text1"/>
          <w:sz w:val="22"/>
        </w:rPr>
      </w:pPr>
      <w:r>
        <w:rPr>
          <w:rFonts w:hint="eastAsia" w:ascii="ＭＳ 明朝" w:hAnsi="ＭＳ 明朝"/>
          <w:color w:val="000000" w:themeColor="text1"/>
          <w:sz w:val="22"/>
        </w:rPr>
        <w:t>①参加者及び協力者が審査委員等関係者に対する不当な活動を行ったと認められる場合</w:t>
      </w:r>
    </w:p>
    <w:p>
      <w:pPr>
        <w:pStyle w:val="0"/>
        <w:ind w:firstLine="660" w:firstLineChars="300"/>
        <w:jc w:val="left"/>
        <w:rPr>
          <w:rFonts w:hint="eastAsia" w:ascii="ＭＳ 明朝" w:hAnsi="ＭＳ 明朝"/>
          <w:color w:val="000000" w:themeColor="text1"/>
          <w:sz w:val="22"/>
        </w:rPr>
      </w:pPr>
      <w:r>
        <w:rPr>
          <w:rFonts w:hint="eastAsia" w:ascii="ＭＳ 明朝" w:hAnsi="ＭＳ 明朝"/>
          <w:color w:val="000000" w:themeColor="text1"/>
          <w:sz w:val="22"/>
        </w:rPr>
        <w:t>②委員長の指示に従わない場合、プレゼンテーション審査に欠席もしくは遅刻した場合</w:t>
      </w:r>
    </w:p>
    <w:p>
      <w:pPr>
        <w:pStyle w:val="0"/>
        <w:ind w:firstLine="660" w:firstLineChars="300"/>
        <w:jc w:val="left"/>
        <w:rPr>
          <w:rFonts w:hint="eastAsia" w:ascii="ＭＳ 明朝" w:hAnsi="ＭＳ 明朝"/>
          <w:color w:val="000000" w:themeColor="text1"/>
          <w:sz w:val="22"/>
        </w:rPr>
      </w:pPr>
    </w:p>
    <w:p>
      <w:pPr>
        <w:pStyle w:val="0"/>
        <w:ind w:left="430" w:leftChars="100" w:hanging="220" w:hangingChars="100"/>
        <w:rPr>
          <w:rFonts w:hint="eastAsia" w:ascii="ＭＳ 明朝" w:hAnsi="ＭＳ 明朝"/>
          <w:color w:val="000000" w:themeColor="text1"/>
          <w:sz w:val="22"/>
        </w:rPr>
      </w:pPr>
    </w:p>
    <w:p>
      <w:pPr>
        <w:pStyle w:val="0"/>
        <w:rPr>
          <w:rFonts w:hint="eastAsia" w:ascii="ＭＳ 明朝" w:hAnsi="ＭＳ 明朝"/>
          <w:color w:val="000000" w:themeColor="text1"/>
          <w:sz w:val="22"/>
        </w:rPr>
      </w:pPr>
      <w:r>
        <w:rPr>
          <w:rFonts w:hint="eastAsia" w:ascii="ＭＳ 明朝" w:hAnsi="ＭＳ 明朝"/>
          <w:color w:val="000000" w:themeColor="text1"/>
          <w:sz w:val="22"/>
        </w:rPr>
        <w:t>（２）経費見積書による評価（価格評価）（</w:t>
      </w:r>
      <w:r>
        <w:rPr>
          <w:rFonts w:hint="eastAsia" w:ascii="ＭＳ 明朝" w:hAnsi="ＭＳ 明朝"/>
          <w:color w:val="000000" w:themeColor="text1"/>
          <w:sz w:val="22"/>
        </w:rPr>
        <w:t>30</w:t>
      </w:r>
      <w:r>
        <w:rPr>
          <w:rFonts w:hint="eastAsia" w:ascii="ＭＳ 明朝" w:hAnsi="ＭＳ 明朝"/>
          <w:color w:val="000000" w:themeColor="text1"/>
          <w:sz w:val="22"/>
        </w:rPr>
        <w:t>点）</w:t>
      </w:r>
    </w:p>
    <w:p>
      <w:pPr>
        <w:pStyle w:val="0"/>
        <w:ind w:left="420" w:leftChars="200" w:firstLine="220" w:firstLineChars="100"/>
        <w:rPr>
          <w:rFonts w:hint="eastAsia" w:ascii="ＭＳ 明朝" w:hAnsi="ＭＳ 明朝"/>
          <w:color w:val="000000" w:themeColor="text1"/>
          <w:sz w:val="22"/>
        </w:rPr>
      </w:pPr>
      <w:r>
        <w:rPr>
          <w:rFonts w:hint="eastAsia" w:ascii="ＭＳ 明朝" w:hAnsi="ＭＳ 明朝"/>
          <w:color w:val="000000" w:themeColor="text1"/>
          <w:sz w:val="22"/>
        </w:rPr>
        <w:t>経費見積書に関する評価点については、</w:t>
      </w:r>
      <w:r>
        <w:rPr>
          <w:rFonts w:hint="eastAsia" w:ascii="ＭＳ 明朝" w:hAnsi="ＭＳ 明朝"/>
          <w:color w:val="000000" w:themeColor="text1"/>
          <w:sz w:val="22"/>
          <w:u w:val="wave" w:color="auto"/>
        </w:rPr>
        <w:t>2,600,000</w:t>
      </w:r>
      <w:r>
        <w:rPr>
          <w:rFonts w:hint="eastAsia" w:ascii="ＭＳ 明朝" w:hAnsi="ＭＳ 明朝"/>
          <w:color w:val="000000" w:themeColor="text1"/>
          <w:sz w:val="22"/>
          <w:u w:val="wave" w:color="auto"/>
        </w:rPr>
        <w:t>円</w:t>
      </w:r>
      <w:r>
        <w:rPr>
          <w:rFonts w:hint="eastAsia" w:ascii="ＭＳ 明朝" w:hAnsi="ＭＳ 明朝"/>
          <w:color w:val="000000" w:themeColor="text1"/>
          <w:sz w:val="22"/>
        </w:rPr>
        <w:t>（税込）を上限額とし、下記の価格審査計算式から算出する。また、小数点以下第１位を四捨五入して算出する。</w:t>
      </w:r>
      <w:r>
        <w:rPr>
          <w:rFonts w:hint="eastAsia" w:ascii="ＭＳ 明朝" w:hAnsi="ＭＳ 明朝"/>
          <w:color w:val="000000" w:themeColor="text1"/>
          <w:sz w:val="22"/>
          <w:u w:val="wave" w:color="auto"/>
        </w:rPr>
        <w:t>1,300,000</w:t>
      </w:r>
      <w:r>
        <w:rPr>
          <w:rFonts w:hint="eastAsia" w:ascii="ＭＳ 明朝" w:hAnsi="ＭＳ 明朝"/>
          <w:color w:val="000000" w:themeColor="text1"/>
          <w:sz w:val="22"/>
          <w:u w:val="wave" w:color="auto"/>
        </w:rPr>
        <w:t>円</w:t>
      </w:r>
      <w:r>
        <w:rPr>
          <w:rFonts w:hint="eastAsia" w:ascii="ＭＳ 明朝" w:hAnsi="ＭＳ 明朝"/>
          <w:color w:val="000000" w:themeColor="text1"/>
          <w:sz w:val="22"/>
        </w:rPr>
        <w:t>（上限額の</w:t>
      </w:r>
      <w:r>
        <w:rPr>
          <w:rFonts w:hint="eastAsia" w:ascii="ＭＳ 明朝" w:hAnsi="ＭＳ 明朝"/>
          <w:color w:val="000000" w:themeColor="text1"/>
          <w:sz w:val="22"/>
        </w:rPr>
        <w:t>50%</w:t>
      </w:r>
      <w:r>
        <w:rPr>
          <w:rFonts w:hint="eastAsia" w:ascii="ＭＳ 明朝" w:hAnsi="ＭＳ 明朝"/>
          <w:color w:val="000000" w:themeColor="text1"/>
          <w:sz w:val="22"/>
        </w:rPr>
        <w:t>）以下は価格審査計算式によらず</w:t>
      </w:r>
      <w:r>
        <w:rPr>
          <w:rFonts w:hint="eastAsia" w:ascii="ＭＳ 明朝" w:hAnsi="ＭＳ 明朝"/>
          <w:color w:val="000000" w:themeColor="text1"/>
          <w:sz w:val="22"/>
        </w:rPr>
        <w:t>30</w:t>
      </w:r>
      <w:r>
        <w:rPr>
          <w:rFonts w:hint="eastAsia" w:ascii="ＭＳ 明朝" w:hAnsi="ＭＳ 明朝"/>
          <w:color w:val="000000" w:themeColor="text1"/>
          <w:sz w:val="22"/>
        </w:rPr>
        <w:t>点とする。</w:t>
      </w:r>
    </w:p>
    <w:p>
      <w:pPr>
        <w:pStyle w:val="0"/>
        <w:ind w:left="420" w:leftChars="200" w:firstLine="220" w:firstLineChars="100"/>
        <w:rPr>
          <w:rFonts w:hint="eastAsia" w:ascii="ＭＳ 明朝" w:hAnsi="ＭＳ 明朝"/>
          <w:color w:val="000000" w:themeColor="text1"/>
          <w:sz w:val="22"/>
        </w:rPr>
      </w:pPr>
      <w:r>
        <w:rPr>
          <w:rFonts w:hint="eastAsia" w:ascii="ＭＳ 明朝" w:hAnsi="ＭＳ 明朝"/>
          <w:color w:val="000000" w:themeColor="text1"/>
          <w:sz w:val="22"/>
        </w:rPr>
        <w:t>なお、この評価点は一律に算出するものとし、各審査員は算出された同じ評価点を用いるものとする。評価の対象とする金額は、導入費用（システム及び機器の購入費用、設置・設定作業費用を含む。）及び</w:t>
      </w:r>
      <w:r>
        <w:rPr>
          <w:rFonts w:hint="eastAsia"/>
        </w:rPr>
        <w:t>令和７年１１月１日から</w:t>
      </w:r>
      <w:r>
        <w:rPr>
          <w:rFonts w:hint="eastAsia" w:ascii="ＭＳ 明朝" w:hAnsi="ＭＳ 明朝"/>
          <w:color w:val="000000" w:themeColor="text1"/>
          <w:sz w:val="22"/>
        </w:rPr>
        <w:t>令和</w:t>
      </w:r>
      <w:r>
        <w:rPr>
          <w:rFonts w:hint="eastAsia" w:ascii="ＭＳ 明朝" w:hAnsi="ＭＳ 明朝"/>
          <w:color w:val="000000" w:themeColor="text1"/>
          <w:sz w:val="22"/>
        </w:rPr>
        <w:t>10</w:t>
      </w:r>
      <w:r>
        <w:rPr>
          <w:rFonts w:hint="eastAsia" w:ascii="ＭＳ 明朝" w:hAnsi="ＭＳ 明朝"/>
          <w:color w:val="000000" w:themeColor="text1"/>
          <w:sz w:val="22"/>
        </w:rPr>
        <w:t>年３月</w:t>
      </w:r>
      <w:r>
        <w:rPr>
          <w:rFonts w:hint="eastAsia" w:ascii="ＭＳ 明朝" w:hAnsi="ＭＳ 明朝"/>
          <w:color w:val="000000" w:themeColor="text1"/>
          <w:sz w:val="22"/>
        </w:rPr>
        <w:t>31</w:t>
      </w:r>
      <w:r>
        <w:rPr>
          <w:rFonts w:hint="eastAsia" w:ascii="ＭＳ 明朝" w:hAnsi="ＭＳ 明朝"/>
          <w:color w:val="000000" w:themeColor="text1"/>
          <w:sz w:val="22"/>
        </w:rPr>
        <w:t>日までの保守費用の合計額とする。</w:t>
      </w:r>
    </w:p>
    <w:p>
      <w:pPr>
        <w:pStyle w:val="0"/>
        <w:ind w:left="420" w:leftChars="200" w:firstLine="220" w:firstLineChars="100"/>
        <w:rPr>
          <w:rFonts w:hint="eastAsia" w:ascii="ＭＳ 明朝" w:hAnsi="ＭＳ 明朝"/>
          <w:color w:val="000000" w:themeColor="text1"/>
          <w:sz w:val="22"/>
        </w:rPr>
      </w:pPr>
    </w:p>
    <w:p>
      <w:pPr>
        <w:pStyle w:val="0"/>
        <w:ind w:left="420" w:leftChars="200" w:firstLine="220" w:firstLineChars="100"/>
        <w:rPr>
          <w:rFonts w:hint="eastAsia" w:ascii="ＭＳ 明朝" w:hAnsi="ＭＳ 明朝"/>
          <w:color w:val="000000" w:themeColor="text1"/>
          <w:sz w:val="22"/>
        </w:rPr>
      </w:pPr>
    </w:p>
    <w:p>
      <w:pPr>
        <w:pStyle w:val="0"/>
        <w:ind w:left="420" w:leftChars="200" w:firstLine="220" w:firstLineChars="100"/>
        <w:rPr>
          <w:rFonts w:hint="eastAsia" w:ascii="ＭＳ 明朝" w:hAnsi="ＭＳ 明朝"/>
          <w:color w:val="000000" w:themeColor="text1"/>
          <w:sz w:val="22"/>
        </w:rPr>
      </w:pPr>
    </w:p>
    <w:p>
      <w:pPr>
        <w:pStyle w:val="0"/>
        <w:ind w:left="420" w:leftChars="200"/>
        <w:rPr>
          <w:rFonts w:hint="eastAsia" w:ascii="ＭＳ 明朝" w:hAnsi="ＭＳ 明朝"/>
          <w:color w:val="000000" w:themeColor="text1"/>
          <w:sz w:val="22"/>
        </w:rPr>
      </w:pPr>
      <w:r>
        <w:rPr>
          <w:rFonts w:hint="eastAsia" w:ascii="ＭＳ 明朝" w:hAnsi="ＭＳ 明朝"/>
          <w:color w:val="000000" w:themeColor="text1"/>
          <w:sz w:val="22"/>
        </w:rPr>
        <w:t>【価格審査計算式】</w:t>
      </w:r>
    </w:p>
    <w:p>
      <w:pPr>
        <w:pStyle w:val="0"/>
        <w:ind w:left="420" w:leftChars="200" w:firstLine="220" w:firstLineChars="100"/>
        <w:rPr>
          <w:rFonts w:hint="eastAsia" w:ascii="ＭＳ 明朝" w:hAnsi="ＭＳ 明朝"/>
          <w:color w:val="000000" w:themeColor="text1"/>
          <w:sz w:val="22"/>
        </w:rPr>
      </w:pPr>
      <w:r>
        <w:rPr>
          <w:rFonts w:hint="eastAsia" w:ascii="ＭＳ 明朝" w:hAnsi="ＭＳ 明朝"/>
          <w:color w:val="000000" w:themeColor="text1"/>
          <w:sz w:val="22"/>
        </w:rPr>
        <w:t>経費見積額－</w:t>
      </w:r>
      <w:r>
        <w:rPr>
          <w:rFonts w:hint="eastAsia" w:ascii="ＭＳ 明朝" w:hAnsi="ＭＳ 明朝"/>
          <w:color w:val="000000" w:themeColor="text1"/>
          <w:sz w:val="22"/>
          <w:u w:val="wave" w:color="auto"/>
        </w:rPr>
        <w:t>1,300,000</w:t>
      </w:r>
      <w:r>
        <w:rPr>
          <w:rFonts w:hint="eastAsia" w:ascii="ＭＳ 明朝" w:hAnsi="ＭＳ 明朝"/>
          <w:color w:val="000000" w:themeColor="text1"/>
          <w:sz w:val="22"/>
          <w:u w:val="wave" w:color="auto"/>
        </w:rPr>
        <w:t>円</w:t>
      </w:r>
      <w:r>
        <w:rPr>
          <w:rFonts w:hint="eastAsia" w:ascii="ＭＳ 明朝" w:hAnsi="ＭＳ 明朝"/>
          <w:color w:val="000000" w:themeColor="text1"/>
          <w:sz w:val="22"/>
        </w:rPr>
        <w:t>＝Ａ</w:t>
      </w:r>
    </w:p>
    <w:p>
      <w:pPr>
        <w:pStyle w:val="0"/>
        <w:ind w:left="420" w:leftChars="200" w:firstLine="220" w:firstLineChars="100"/>
        <w:rPr>
          <w:rFonts w:hint="eastAsia"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１－Ａ／</w:t>
      </w:r>
      <w:r>
        <w:rPr>
          <w:rFonts w:hint="eastAsia" w:ascii="ＭＳ 明朝" w:hAnsi="ＭＳ 明朝"/>
          <w:color w:val="000000" w:themeColor="text1"/>
          <w:sz w:val="22"/>
          <w:u w:val="wave" w:color="auto"/>
        </w:rPr>
        <w:t>1,300,000</w:t>
      </w:r>
      <w:r>
        <w:rPr>
          <w:rFonts w:hint="eastAsia" w:ascii="ＭＳ 明朝" w:hAnsi="ＭＳ 明朝"/>
          <w:color w:val="000000" w:themeColor="text1"/>
          <w:sz w:val="22"/>
          <w:u w:val="wave" w:color="auto"/>
        </w:rPr>
        <w:t>円</w:t>
      </w:r>
      <w:r>
        <w:rPr>
          <w:rFonts w:hint="eastAsia" w:ascii="ＭＳ 明朝" w:hAnsi="ＭＳ 明朝"/>
          <w:color w:val="000000" w:themeColor="text1"/>
          <w:sz w:val="22"/>
        </w:rPr>
        <w:t>)</w:t>
      </w:r>
      <w:r>
        <w:rPr>
          <w:rFonts w:hint="eastAsia" w:ascii="ＭＳ 明朝" w:hAnsi="ＭＳ 明朝"/>
          <w:color w:val="000000" w:themeColor="text1"/>
          <w:sz w:val="22"/>
        </w:rPr>
        <w:t>＝Ｂ</w:t>
      </w:r>
    </w:p>
    <w:p>
      <w:pPr>
        <w:pStyle w:val="0"/>
        <w:ind w:left="420" w:leftChars="200" w:firstLine="220" w:firstLineChars="100"/>
        <w:rPr>
          <w:rFonts w:hint="eastAsia" w:ascii="ＭＳ 明朝" w:hAnsi="ＭＳ 明朝"/>
          <w:color w:val="000000" w:themeColor="text1"/>
          <w:sz w:val="22"/>
        </w:rPr>
      </w:pPr>
      <w:r>
        <w:rPr>
          <w:rFonts w:hint="eastAsia" w:ascii="ＭＳ 明朝" w:hAnsi="ＭＳ 明朝"/>
          <w:color w:val="000000" w:themeColor="text1"/>
          <w:sz w:val="22"/>
        </w:rPr>
        <w:t>30</w:t>
      </w:r>
      <w:r>
        <w:rPr>
          <w:rFonts w:hint="eastAsia" w:ascii="ＭＳ 明朝" w:hAnsi="ＭＳ 明朝"/>
          <w:color w:val="000000" w:themeColor="text1"/>
          <w:sz w:val="22"/>
        </w:rPr>
        <w:t>点×Ｂ＝Ｃ</w:t>
      </w:r>
      <w:r>
        <w:rPr>
          <w:rFonts w:hint="eastAsia" w:ascii="ＭＳ 明朝" w:hAnsi="ＭＳ 明朝"/>
          <w:color w:val="000000" w:themeColor="text1"/>
          <w:sz w:val="22"/>
        </w:rPr>
        <w:t>(</w:t>
      </w:r>
      <w:r>
        <w:rPr>
          <w:rFonts w:hint="eastAsia" w:ascii="ＭＳ 明朝" w:hAnsi="ＭＳ 明朝"/>
          <w:color w:val="000000" w:themeColor="text1"/>
          <w:sz w:val="22"/>
        </w:rPr>
        <w:t>価格審査の評価点</w:t>
      </w:r>
      <w:r>
        <w:rPr>
          <w:rFonts w:hint="eastAsia" w:ascii="ＭＳ 明朝" w:hAnsi="ＭＳ 明朝"/>
          <w:color w:val="000000" w:themeColor="text1"/>
          <w:sz w:val="22"/>
        </w:rPr>
        <w:t>)</w:t>
      </w:r>
    </w:p>
    <w:p>
      <w:pPr>
        <w:pStyle w:val="0"/>
        <w:ind w:left="420" w:leftChars="200" w:firstLine="220" w:firstLineChars="100"/>
        <w:rPr>
          <w:rFonts w:hint="eastAsia" w:ascii="ＭＳ 明朝" w:hAnsi="ＭＳ 明朝"/>
          <w:color w:val="000000" w:themeColor="text1"/>
          <w:sz w:val="22"/>
        </w:rPr>
      </w:pPr>
    </w:p>
    <w:p>
      <w:pPr>
        <w:pStyle w:val="0"/>
        <w:ind w:left="420" w:leftChars="200" w:firstLine="220" w:firstLineChars="100"/>
        <w:rPr>
          <w:rFonts w:hint="eastAsia" w:ascii="ＭＳ 明朝" w:hAnsi="ＭＳ 明朝"/>
          <w:color w:val="000000" w:themeColor="text1"/>
          <w:sz w:val="22"/>
        </w:rPr>
      </w:pPr>
      <w:r>
        <w:rPr>
          <w:rFonts w:hint="eastAsia" w:ascii="ＭＳ 明朝" w:hAnsi="ＭＳ 明朝"/>
          <w:color w:val="000000" w:themeColor="text1"/>
          <w:sz w:val="22"/>
        </w:rPr>
        <w:t>（例）経費見積額が</w:t>
      </w:r>
      <w:r>
        <w:rPr>
          <w:rFonts w:hint="eastAsia" w:ascii="ＭＳ 明朝" w:hAnsi="ＭＳ 明朝"/>
          <w:color w:val="000000" w:themeColor="text1"/>
          <w:sz w:val="22"/>
        </w:rPr>
        <w:t>2,200,000</w:t>
      </w:r>
      <w:r>
        <w:rPr>
          <w:rFonts w:hint="eastAsia" w:ascii="ＭＳ 明朝" w:hAnsi="ＭＳ 明朝"/>
          <w:color w:val="000000" w:themeColor="text1"/>
          <w:sz w:val="22"/>
        </w:rPr>
        <w:t>円の場合</w:t>
      </w:r>
    </w:p>
    <w:p>
      <w:pPr>
        <w:pStyle w:val="0"/>
        <w:ind w:left="420" w:leftChars="200" w:firstLine="220" w:firstLineChars="100"/>
        <w:rPr>
          <w:rFonts w:hint="eastAsia" w:ascii="ＭＳ 明朝" w:hAnsi="ＭＳ 明朝"/>
          <w:color w:val="000000" w:themeColor="text1"/>
          <w:sz w:val="22"/>
        </w:rPr>
      </w:pPr>
      <w:r>
        <w:rPr>
          <w:rFonts w:hint="eastAsia" w:ascii="ＭＳ 明朝" w:hAnsi="ＭＳ 明朝"/>
          <w:color w:val="000000" w:themeColor="text1"/>
          <w:sz w:val="22"/>
        </w:rPr>
        <w:t>2,200,000</w:t>
      </w:r>
      <w:r>
        <w:rPr>
          <w:rFonts w:hint="eastAsia" w:ascii="ＭＳ 明朝" w:hAnsi="ＭＳ 明朝"/>
          <w:color w:val="000000" w:themeColor="text1"/>
          <w:sz w:val="22"/>
        </w:rPr>
        <w:t>円－</w:t>
      </w:r>
      <w:r>
        <w:rPr>
          <w:rFonts w:hint="eastAsia" w:ascii="ＭＳ 明朝" w:hAnsi="ＭＳ 明朝"/>
          <w:color w:val="000000" w:themeColor="text1"/>
          <w:sz w:val="22"/>
          <w:u w:val="wave" w:color="auto"/>
        </w:rPr>
        <w:t>1,300,000</w:t>
      </w:r>
      <w:r>
        <w:rPr>
          <w:rFonts w:hint="eastAsia" w:ascii="ＭＳ 明朝" w:hAnsi="ＭＳ 明朝"/>
          <w:color w:val="000000" w:themeColor="text1"/>
          <w:sz w:val="22"/>
          <w:u w:val="wave" w:color="auto"/>
        </w:rPr>
        <w:t>円</w:t>
      </w:r>
      <w:r>
        <w:rPr>
          <w:rFonts w:hint="eastAsia" w:ascii="ＭＳ 明朝" w:hAnsi="ＭＳ 明朝"/>
          <w:color w:val="000000" w:themeColor="text1"/>
          <w:sz w:val="22"/>
        </w:rPr>
        <w:t>＝</w:t>
      </w:r>
      <w:r>
        <w:rPr>
          <w:rFonts w:hint="eastAsia" w:ascii="ＭＳ 明朝" w:hAnsi="ＭＳ 明朝"/>
          <w:color w:val="000000" w:themeColor="text1"/>
          <w:sz w:val="22"/>
          <w:u w:val="wave" w:color="auto"/>
        </w:rPr>
        <w:t>900,000</w:t>
      </w:r>
      <w:r>
        <w:rPr>
          <w:rFonts w:hint="eastAsia" w:ascii="ＭＳ 明朝" w:hAnsi="ＭＳ 明朝"/>
          <w:color w:val="000000" w:themeColor="text1"/>
          <w:sz w:val="22"/>
          <w:u w:val="wave" w:color="auto"/>
        </w:rPr>
        <w:t>円</w:t>
      </w:r>
    </w:p>
    <w:p>
      <w:pPr>
        <w:pStyle w:val="0"/>
        <w:ind w:left="420" w:leftChars="200" w:firstLine="220" w:firstLineChars="100"/>
        <w:rPr>
          <w:rFonts w:hint="eastAsia"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1</w:t>
      </w:r>
      <w:r>
        <w:rPr>
          <w:rFonts w:hint="eastAsia" w:ascii="ＭＳ 明朝" w:hAnsi="ＭＳ 明朝"/>
          <w:color w:val="000000" w:themeColor="text1"/>
          <w:sz w:val="22"/>
        </w:rPr>
        <w:t>－</w:t>
      </w:r>
      <w:r>
        <w:rPr>
          <w:rFonts w:hint="eastAsia" w:ascii="ＭＳ 明朝" w:hAnsi="ＭＳ 明朝"/>
          <w:color w:val="000000" w:themeColor="text1"/>
          <w:sz w:val="22"/>
          <w:u w:val="wave" w:color="auto"/>
        </w:rPr>
        <w:t>900,000</w:t>
      </w:r>
      <w:r>
        <w:rPr>
          <w:rFonts w:hint="eastAsia" w:ascii="ＭＳ 明朝" w:hAnsi="ＭＳ 明朝"/>
          <w:color w:val="000000" w:themeColor="text1"/>
          <w:sz w:val="22"/>
          <w:u w:val="wave" w:color="auto"/>
        </w:rPr>
        <w:t>円</w:t>
      </w:r>
      <w:r>
        <w:rPr>
          <w:rFonts w:hint="eastAsia" w:ascii="ＭＳ 明朝" w:hAnsi="ＭＳ 明朝"/>
          <w:color w:val="000000" w:themeColor="text1"/>
          <w:sz w:val="22"/>
        </w:rPr>
        <w:t>／</w:t>
      </w:r>
      <w:r>
        <w:rPr>
          <w:rFonts w:hint="eastAsia" w:ascii="ＭＳ 明朝" w:hAnsi="ＭＳ 明朝"/>
          <w:color w:val="000000" w:themeColor="text1"/>
          <w:sz w:val="22"/>
          <w:u w:val="wave" w:color="auto"/>
        </w:rPr>
        <w:t>1,300,000</w:t>
      </w:r>
      <w:r>
        <w:rPr>
          <w:rFonts w:hint="eastAsia" w:ascii="ＭＳ 明朝" w:hAnsi="ＭＳ 明朝"/>
          <w:color w:val="000000" w:themeColor="text1"/>
          <w:sz w:val="22"/>
          <w:u w:val="wave" w:color="auto"/>
        </w:rPr>
        <w:t>円</w:t>
      </w:r>
      <w:r>
        <w:rPr>
          <w:rFonts w:hint="eastAsia" w:ascii="ＭＳ 明朝" w:hAnsi="ＭＳ 明朝"/>
          <w:color w:val="000000" w:themeColor="text1"/>
          <w:sz w:val="22"/>
        </w:rPr>
        <w:t>）≒</w:t>
      </w:r>
      <w:r>
        <w:rPr>
          <w:rFonts w:hint="eastAsia" w:ascii="ＭＳ 明朝" w:hAnsi="ＭＳ 明朝"/>
          <w:color w:val="000000" w:themeColor="text1"/>
          <w:sz w:val="22"/>
          <w:u w:val="wave" w:color="auto"/>
        </w:rPr>
        <w:t>0.31</w:t>
      </w:r>
      <w:r>
        <w:rPr>
          <w:rFonts w:hint="eastAsia" w:ascii="ＭＳ 明朝" w:hAnsi="ＭＳ 明朝"/>
          <w:color w:val="000000" w:themeColor="text1"/>
          <w:sz w:val="22"/>
        </w:rPr>
        <w:t>（小数点以下第３位四捨五入）</w:t>
      </w:r>
    </w:p>
    <w:p>
      <w:pPr>
        <w:pStyle w:val="0"/>
        <w:ind w:left="420" w:leftChars="200" w:firstLine="220" w:firstLineChars="100"/>
        <w:rPr>
          <w:rFonts w:hint="eastAsia" w:ascii="ＭＳ 明朝" w:hAnsi="ＭＳ 明朝"/>
          <w:color w:val="FF0000"/>
          <w:sz w:val="22"/>
        </w:rPr>
      </w:pPr>
      <w:r>
        <w:rPr>
          <w:rFonts w:hint="eastAsia" w:ascii="ＭＳ 明朝" w:hAnsi="ＭＳ 明朝"/>
          <w:color w:val="000000" w:themeColor="text1"/>
          <w:sz w:val="22"/>
        </w:rPr>
        <w:t>30</w:t>
      </w:r>
      <w:r>
        <w:rPr>
          <w:rFonts w:hint="eastAsia" w:ascii="ＭＳ 明朝" w:hAnsi="ＭＳ 明朝"/>
          <w:color w:val="000000" w:themeColor="text1"/>
          <w:sz w:val="22"/>
        </w:rPr>
        <w:t>点×</w:t>
      </w:r>
      <w:r>
        <w:rPr>
          <w:rFonts w:hint="eastAsia" w:ascii="ＭＳ 明朝" w:hAnsi="ＭＳ 明朝"/>
          <w:color w:val="000000" w:themeColor="text1"/>
          <w:sz w:val="22"/>
          <w:u w:val="wave" w:color="auto"/>
        </w:rPr>
        <w:t>0.31</w:t>
      </w:r>
      <w:r>
        <w:rPr>
          <w:rFonts w:hint="eastAsia" w:ascii="ＭＳ 明朝" w:hAnsi="ＭＳ 明朝"/>
          <w:color w:val="000000" w:themeColor="text1"/>
          <w:sz w:val="22"/>
        </w:rPr>
        <w:t>≒</w:t>
      </w:r>
      <w:r>
        <w:rPr>
          <w:rFonts w:hint="eastAsia" w:ascii="ＭＳ 明朝" w:hAnsi="ＭＳ 明朝"/>
          <w:color w:val="000000" w:themeColor="text1"/>
          <w:sz w:val="22"/>
          <w:u w:val="wave" w:color="auto"/>
        </w:rPr>
        <w:t>9</w:t>
      </w:r>
      <w:r>
        <w:rPr>
          <w:rFonts w:hint="eastAsia" w:ascii="ＭＳ 明朝" w:hAnsi="ＭＳ 明朝"/>
          <w:color w:val="000000" w:themeColor="text1"/>
          <w:sz w:val="22"/>
          <w:u w:val="wave"/>
        </w:rPr>
        <w:t>点</w:t>
      </w:r>
      <w:r>
        <w:rPr>
          <w:rFonts w:hint="eastAsia" w:ascii="ＭＳ 明朝" w:hAnsi="ＭＳ 明朝"/>
          <w:color w:val="000000" w:themeColor="text1"/>
          <w:sz w:val="22"/>
        </w:rPr>
        <w:t>（小数点以下四捨五入）</w:t>
      </w:r>
      <w:r>
        <w:rPr>
          <w:rFonts w:hint="eastAsia" w:ascii="ＭＳ 明朝" w:hAnsi="ＭＳ 明朝"/>
          <w:color w:val="000000" w:themeColor="text1"/>
          <w:sz w:val="22"/>
          <w:u w:val="double" w:color="auto"/>
        </w:rPr>
        <w:t>価格審査の評価点</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４．優先交渉権者の決定方法</w:t>
      </w:r>
    </w:p>
    <w:p>
      <w:pPr>
        <w:pStyle w:val="0"/>
        <w:ind w:left="210" w:leftChars="100" w:firstLine="220" w:firstLineChars="100"/>
        <w:rPr>
          <w:rFonts w:hint="eastAsia" w:ascii="ＭＳ 明朝" w:hAnsi="ＭＳ 明朝"/>
          <w:sz w:val="22"/>
        </w:rPr>
      </w:pPr>
      <w:r>
        <w:rPr>
          <w:rFonts w:hint="eastAsia" w:ascii="ＭＳ 明朝" w:hAnsi="ＭＳ 明朝"/>
          <w:sz w:val="22"/>
        </w:rPr>
        <w:t>選定委員会の審査結果を踏まえて、各委員の評価点の合計得点が最も高い参加者を最優秀者（契約交渉相手方）として決定し、次に合計得点が高いものを次点者とする。なお、合計得点が同点の場合は、提案書及びプレゼンテーションに基づく評価点の高い参加者を上位として選定する。合計得点及び提案書及びプ</w:t>
      </w:r>
      <w:bookmarkStart w:id="1" w:name="_GoBack"/>
      <w:bookmarkEnd w:id="1"/>
      <w:r>
        <w:rPr>
          <w:rFonts w:hint="eastAsia" w:ascii="ＭＳ 明朝" w:hAnsi="ＭＳ 明朝"/>
          <w:sz w:val="22"/>
        </w:rPr>
        <w:t>レゼンテーションに基づく評価点がそれぞれ同点の場合は、経費見積書における見積金額合計額（税込）の低いほうを上位とする。合計得点及び提案書及びプレゼンテーションに基づく評価点、経費見積書における見積金額合計額（税込）がすべて同点（同額）で上位が決しない場合は、委員長の決するところとする。</w:t>
      </w:r>
    </w:p>
    <w:p>
      <w:pPr>
        <w:pStyle w:val="0"/>
        <w:ind w:firstLine="440" w:firstLineChars="200"/>
        <w:rPr>
          <w:rFonts w:hint="eastAsia" w:ascii="ＭＳ 明朝" w:hAnsi="ＭＳ 明朝"/>
          <w:sz w:val="22"/>
        </w:rPr>
      </w:pPr>
      <w:r>
        <w:rPr>
          <w:rFonts w:hint="eastAsia" w:ascii="ＭＳ 明朝" w:hAnsi="ＭＳ 明朝"/>
          <w:sz w:val="22"/>
        </w:rPr>
        <w:t>最優秀者との契約が不調となった場合には、次点者と交渉を行う。</w:t>
      </w:r>
    </w:p>
    <w:p>
      <w:pPr>
        <w:pStyle w:val="0"/>
        <w:rPr>
          <w:rFonts w:hint="eastAsia" w:ascii="ＭＳ 明朝" w:hAnsi="ＭＳ 明朝"/>
          <w:sz w:val="22"/>
        </w:rPr>
      </w:pPr>
      <w:r>
        <w:rPr>
          <w:rFonts w:hint="eastAsia" w:ascii="ＭＳ 明朝" w:hAnsi="ＭＳ 明朝"/>
          <w:sz w:val="22"/>
        </w:rPr>
        <w:t>　　なお、参加事業者が１者のみの場合であっても、優先交渉権者に特定する。</w:t>
      </w:r>
    </w:p>
    <w:p>
      <w:pPr>
        <w:pStyle w:val="0"/>
        <w:rPr>
          <w:rFonts w:hint="eastAsia" w:ascii="ＭＳ 明朝" w:hAnsi="ＭＳ 明朝"/>
          <w:sz w:val="22"/>
        </w:rPr>
      </w:pPr>
      <w:r>
        <w:rPr>
          <w:rFonts w:hint="eastAsia" w:ascii="ＭＳ 明朝" w:hAnsi="ＭＳ 明朝"/>
          <w:sz w:val="22"/>
        </w:rPr>
        <w:t>　　ただし、合計点が</w:t>
      </w:r>
      <w:r>
        <w:rPr>
          <w:rFonts w:hint="eastAsia" w:ascii="ＭＳ 明朝" w:hAnsi="ＭＳ 明朝"/>
          <w:color w:val="000000" w:themeColor="text1"/>
          <w:sz w:val="22"/>
        </w:rPr>
        <w:t>100</w:t>
      </w:r>
      <w:r>
        <w:rPr>
          <w:rFonts w:hint="eastAsia" w:ascii="ＭＳ 明朝" w:hAnsi="ＭＳ 明朝"/>
          <w:color w:val="000000" w:themeColor="text1"/>
          <w:sz w:val="22"/>
        </w:rPr>
        <w:t>点×審査員</w:t>
      </w:r>
      <w:r>
        <w:rPr>
          <w:rFonts w:hint="eastAsia" w:ascii="ＭＳ 明朝" w:hAnsi="ＭＳ 明朝"/>
          <w:color w:val="000000" w:themeColor="text1"/>
          <w:sz w:val="22"/>
        </w:rPr>
        <w:t>7</w:t>
      </w:r>
      <w:r>
        <w:rPr>
          <w:rFonts w:hint="eastAsia" w:ascii="ＭＳ 明朝" w:hAnsi="ＭＳ 明朝"/>
          <w:color w:val="000000" w:themeColor="text1"/>
          <w:sz w:val="22"/>
        </w:rPr>
        <w:t>人×</w:t>
      </w:r>
      <w:r>
        <w:rPr>
          <w:rFonts w:hint="eastAsia" w:ascii="ＭＳ 明朝" w:hAnsi="ＭＳ 明朝"/>
          <w:color w:val="000000" w:themeColor="text1"/>
          <w:sz w:val="22"/>
        </w:rPr>
        <w:t>0.6</w:t>
      </w:r>
      <w:r>
        <w:rPr>
          <w:rFonts w:hint="eastAsia" w:ascii="ＭＳ 明朝" w:hAnsi="ＭＳ 明朝"/>
          <w:color w:val="000000" w:themeColor="text1"/>
          <w:sz w:val="22"/>
        </w:rPr>
        <w:t>＝</w:t>
      </w:r>
      <w:r>
        <w:rPr>
          <w:rFonts w:hint="eastAsia" w:ascii="ＭＳ 明朝" w:hAnsi="ＭＳ 明朝"/>
          <w:color w:val="000000" w:themeColor="text1"/>
          <w:sz w:val="22"/>
        </w:rPr>
        <w:t>420</w:t>
      </w:r>
      <w:r>
        <w:rPr>
          <w:rFonts w:hint="eastAsia" w:ascii="ＭＳ 明朝" w:hAnsi="ＭＳ 明朝"/>
          <w:color w:val="000000" w:themeColor="text1"/>
          <w:sz w:val="22"/>
        </w:rPr>
        <w:t>点</w:t>
      </w:r>
      <w:r>
        <w:rPr>
          <w:rFonts w:hint="eastAsia" w:ascii="ＭＳ 明朝" w:hAnsi="ＭＳ 明朝"/>
          <w:sz w:val="22"/>
        </w:rPr>
        <w:t>に満たない場合は、優先交渉権者の決定を</w:t>
      </w:r>
    </w:p>
    <w:p>
      <w:pPr>
        <w:pStyle w:val="0"/>
        <w:ind w:firstLine="220" w:firstLineChars="100"/>
        <w:rPr>
          <w:rFonts w:hint="eastAsia" w:ascii="ＭＳ 明朝" w:hAnsi="ＭＳ 明朝"/>
          <w:sz w:val="22"/>
        </w:rPr>
      </w:pPr>
      <w:r>
        <w:rPr>
          <w:rFonts w:hint="eastAsia" w:ascii="ＭＳ 明朝" w:hAnsi="ＭＳ 明朝"/>
          <w:sz w:val="22"/>
        </w:rPr>
        <w:t>行わない場合がある。</w:t>
      </w:r>
    </w:p>
    <w:p>
      <w:pPr>
        <w:pStyle w:val="0"/>
        <w:rPr>
          <w:rFonts w:hint="eastAsia" w:ascii="ＭＳ 明朝" w:hAnsi="ＭＳ 明朝"/>
          <w:sz w:val="22"/>
        </w:rPr>
      </w:pPr>
    </w:p>
    <w:p>
      <w:pPr>
        <w:pStyle w:val="0"/>
        <w:ind w:firstLine="660" w:firstLineChars="300"/>
        <w:rPr>
          <w:rFonts w:hint="eastAsia" w:ascii="ＭＳ 明朝" w:hAnsi="ＭＳ 明朝"/>
          <w:sz w:val="22"/>
        </w:rPr>
      </w:pPr>
      <w:r>
        <w:rPr>
          <w:rFonts w:hint="eastAsia" w:ascii="ＭＳ 明朝" w:hAnsi="ＭＳ 明朝"/>
          <w:sz w:val="22"/>
        </w:rPr>
        <w:t>附　則</w:t>
      </w:r>
    </w:p>
    <w:p>
      <w:pPr>
        <w:pStyle w:val="0"/>
        <w:ind w:firstLine="220" w:firstLineChars="100"/>
        <w:rPr>
          <w:rFonts w:hint="eastAsia" w:ascii="ＭＳ 明朝" w:hAnsi="ＭＳ 明朝"/>
          <w:sz w:val="22"/>
        </w:rPr>
      </w:pPr>
      <w:r>
        <w:rPr>
          <w:rFonts w:hint="eastAsia" w:ascii="ＭＳ 明朝" w:hAnsi="ＭＳ 明朝"/>
          <w:sz w:val="22"/>
        </w:rPr>
        <w:t>この要領は、令和７年７月３０日から施行する。</w:t>
      </w:r>
    </w:p>
    <w:p>
      <w:pPr>
        <w:pStyle w:val="0"/>
        <w:ind w:firstLine="220" w:firstLineChars="10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4"/>
        </w:rPr>
      </w:pPr>
      <w:r>
        <w:rPr>
          <w:rFonts w:hint="eastAsia"/>
          <w:sz w:val="22"/>
        </w:rPr>
        <w:t>別表第１</w:t>
      </w:r>
    </w:p>
    <w:p>
      <w:pPr>
        <w:pStyle w:val="0"/>
        <w:rPr>
          <w:rFonts w:hint="eastAsia"/>
          <w:sz w:val="24"/>
        </w:rPr>
      </w:pPr>
    </w:p>
    <w:p>
      <w:pPr>
        <w:pStyle w:val="0"/>
        <w:rPr>
          <w:rFonts w:hint="eastAsia"/>
          <w:sz w:val="24"/>
        </w:rPr>
      </w:pPr>
      <w:r>
        <w:rPr>
          <w:rFonts w:hint="eastAsia" w:ascii="ＭＳ 明朝" w:hAnsi="ＭＳ 明朝"/>
          <w:sz w:val="22"/>
        </w:rPr>
        <w:t>企画提案書及びプレゼンテーションに基づく評価基準</w:t>
      </w:r>
      <w:r>
        <w:rPr>
          <w:rFonts w:hint="eastAsia" w:ascii="ＭＳ 明朝" w:hAnsi="ＭＳ 明朝"/>
          <w:sz w:val="22"/>
        </w:rPr>
        <w:t>(70</w:t>
      </w:r>
      <w:r>
        <w:rPr>
          <w:rFonts w:hint="eastAsia" w:ascii="ＭＳ 明朝" w:hAnsi="ＭＳ 明朝"/>
          <w:sz w:val="22"/>
        </w:rPr>
        <w:t>点</w:t>
      </w:r>
      <w:r>
        <w:rPr>
          <w:rFonts w:hint="eastAsia" w:ascii="ＭＳ 明朝" w:hAnsi="ＭＳ 明朝"/>
          <w:sz w:val="22"/>
        </w:rPr>
        <w:t>)</w:t>
      </w:r>
    </w:p>
    <w:p>
      <w:pPr>
        <w:pStyle w:val="0"/>
        <w:rPr>
          <w:rFonts w:hint="eastAsia"/>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684"/>
        <w:gridCol w:w="1634"/>
        <w:gridCol w:w="3166"/>
        <w:gridCol w:w="1830"/>
        <w:gridCol w:w="720"/>
        <w:gridCol w:w="1154"/>
      </w:tblGrid>
      <w:tr>
        <w:trPr/>
        <w:tc>
          <w:tcPr>
            <w:tcW w:w="684"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rPr>
            </w:pPr>
            <w:r>
              <w:rPr>
                <w:rFonts w:hint="eastAsia"/>
              </w:rPr>
              <w:t>項番</w:t>
            </w:r>
          </w:p>
        </w:tc>
        <w:tc>
          <w:tcPr>
            <w:tcW w:w="1634"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rPr>
            </w:pPr>
            <w:r>
              <w:rPr>
                <w:rFonts w:hint="eastAsia"/>
              </w:rPr>
              <w:t>評価項目</w:t>
            </w:r>
          </w:p>
        </w:tc>
        <w:tc>
          <w:tcPr>
            <w:tcW w:w="3166"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rPr>
            </w:pPr>
            <w:r>
              <w:rPr>
                <w:rFonts w:hint="eastAsia"/>
              </w:rPr>
              <w:t>評価視点</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rPr>
                <w:rFonts w:hint="eastAsia"/>
              </w:rPr>
            </w:pPr>
            <w:r>
              <w:rPr>
                <w:rFonts w:hint="eastAsia"/>
              </w:rPr>
              <w:t>評価基準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rPr>
            </w:pPr>
            <w:r>
              <w:rPr>
                <w:rFonts w:hint="eastAsia"/>
              </w:rPr>
              <w:t>配点</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rPr>
            </w:pPr>
            <w:r>
              <w:rPr>
                <w:rFonts w:hint="eastAsia"/>
              </w:rPr>
              <w:t>評価得点</w:t>
            </w: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１</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ascii="ＭＳ 明朝" w:hAnsi="ＭＳ 明朝" w:eastAsia="ＭＳ 明朝"/>
              </w:rPr>
              <w:t>提案するセミセルフレジ及び自動釣銭機の特徴</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eastAsia="ＭＳ 明朝"/>
              </w:rPr>
              <w:t>提案システム・機器の特徴、優れている点、差別化できる点などアピールポイントが示されているか。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10</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8</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28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２</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操作性</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ascii="ＭＳ 明朝" w:hAnsi="ＭＳ 明朝" w:eastAsia="ＭＳ 明朝"/>
              </w:rPr>
              <w:t>提案システム・機器は、町民はもとより職員にとっても分かりやすく、操作しやすいものであるか。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10</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8</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３</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キャッシュレス端末との連携</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163" w:beforeLines="50" w:beforeAutospacing="0"/>
              <w:jc w:val="left"/>
              <w:rPr>
                <w:rFonts w:hint="eastAsia"/>
              </w:rPr>
            </w:pPr>
            <w:r>
              <w:rPr>
                <w:rFonts w:hint="eastAsia" w:ascii="ＭＳ 明朝" w:hAnsi="ＭＳ 明朝" w:eastAsia="ＭＳ 明朝"/>
              </w:rPr>
              <w:t>多様なキャッシュレス決済が利用可能なキャッシュレス端末と連携が可能か。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4</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1</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４</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効率化</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ascii="ＭＳ 明朝" w:hAnsi="ＭＳ 明朝" w:eastAsia="ＭＳ 明朝"/>
              </w:rPr>
              <w:t>円滑な入金等の処理及び窓口業務における時間の短縮やミスの予防につながる機能を有し、業務全体の効率化が期待できるか。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10</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8</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５</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セキュリティ対策</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ascii="ＭＳ 明朝" w:hAnsi="ＭＳ 明朝" w:eastAsia="ＭＳ 明朝"/>
              </w:rPr>
              <w:t>提案システム・機器は、セキュリティ対策が十分施されたものであるか。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4</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74"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1</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６</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省スペース化</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163" w:beforeLines="50" w:beforeAutospacing="0"/>
              <w:jc w:val="left"/>
              <w:rPr>
                <w:rFonts w:hint="eastAsia"/>
              </w:rPr>
            </w:pPr>
            <w:r>
              <w:rPr>
                <w:rFonts w:hint="eastAsia" w:ascii="ＭＳ 明朝" w:hAnsi="ＭＳ 明朝" w:eastAsia="ＭＳ 明朝"/>
              </w:rPr>
              <w:t>提案システム・機器は、省スペース化への工夫や提案が示されているか。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4</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1</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7</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ascii="ＭＳ 明朝" w:hAnsi="ＭＳ 明朝" w:eastAsia="ＭＳ 明朝"/>
              </w:rPr>
              <w:t>運用保守・</w:t>
            </w:r>
          </w:p>
          <w:p>
            <w:pPr>
              <w:pStyle w:val="0"/>
              <w:jc w:val="left"/>
              <w:rPr>
                <w:rFonts w:hint="eastAsia"/>
              </w:rPr>
            </w:pPr>
            <w:r>
              <w:rPr>
                <w:rFonts w:hint="eastAsia" w:ascii="ＭＳ 明朝" w:hAnsi="ＭＳ 明朝" w:eastAsia="ＭＳ 明朝"/>
              </w:rPr>
              <w:t>サポート体制</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eastAsia="ＭＳ 明朝"/>
              </w:rPr>
              <w:t>保守・運用上のサービスが本町にとって必要十分な内容であり、安定した業務を行うためのバックアップ体制、運用支援が期待できるか</w:t>
            </w:r>
            <w:r>
              <w:rPr>
                <w:rFonts w:hint="eastAsia"/>
              </w:rPr>
              <w:t>。</w:t>
            </w:r>
            <w:r>
              <w:rPr>
                <w:rFonts w:hint="eastAsia" w:ascii="ＭＳ 明朝" w:hAnsi="ＭＳ 明朝" w:eastAsia="ＭＳ 明朝"/>
              </w:rPr>
              <w:t>障害が発生した際の復旧までの対応が迅速で、職員の運用負荷軽減に繋がる提案となっているか</w:t>
            </w:r>
            <w:r>
              <w:rPr>
                <w:rFonts w:hint="eastAsia"/>
              </w:rPr>
              <w:t>。</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10</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42" w:leftChars="20"/>
              <w:jc w:val="center"/>
              <w:rPr>
                <w:rFonts w:hint="eastAsia"/>
              </w:rPr>
            </w:pPr>
            <w:r>
              <w:rPr>
                <w:rFonts w:hint="eastAsia"/>
              </w:rPr>
              <w:t>8</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42" w:leftChars="20"/>
              <w:jc w:val="center"/>
              <w:rPr>
                <w:rFonts w:hint="eastAsia"/>
              </w:rPr>
            </w:pPr>
            <w:r>
              <w:rPr>
                <w:rFonts w:hint="eastAsia"/>
              </w:rPr>
              <w:t>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42" w:leftChars="20"/>
              <w:jc w:val="center"/>
              <w:rPr>
                <w:rFonts w:hint="eastAsia"/>
              </w:rPr>
            </w:pPr>
            <w:r>
              <w:rPr>
                <w:rFonts w:hint="eastAsia"/>
              </w:rPr>
              <w:t>2</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８</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職員研修</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eastAsia="ＭＳ 明朝"/>
              </w:rPr>
              <w:t>職員研修の内容は、提案システム・機器の運用を円滑に開始するための操作手順等の理解や習得を促進できるような提案となっているか。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4</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1</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９</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実績</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提案システム・機器が過去５年以内において日本国内の地方公共団体において導入実績があるか。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10</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17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8</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0</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30" w:hRule="atLeast"/>
        </w:trPr>
        <w:tc>
          <w:tcPr>
            <w:tcW w:w="7314"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before="163" w:beforeLines="50" w:beforeAutospacing="0"/>
              <w:jc w:val="center"/>
              <w:rPr>
                <w:rFonts w:hint="eastAsia"/>
              </w:rPr>
            </w:pPr>
            <w:r>
              <w:rPr>
                <w:rFonts w:hint="eastAsia"/>
              </w:rPr>
              <w:t>合計評価点</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70</w:t>
            </w:r>
            <w:r>
              <w:rPr>
                <w:rFonts w:hint="eastAsia"/>
              </w:rPr>
              <w:t>点</w:t>
            </w:r>
          </w:p>
          <w:p>
            <w:pPr>
              <w:pStyle w:val="0"/>
              <w:jc w:val="center"/>
              <w:rPr>
                <w:rFonts w:hint="eastAsia"/>
              </w:rPr>
            </w:pPr>
            <w:r>
              <w:rPr>
                <w:rFonts w:hint="eastAsia"/>
              </w:rPr>
              <w:t>満点</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rPr>
          <w:rFonts w:hint="eastAsia" w:ascii="ＭＳ 明朝" w:hAnsi="ＭＳ 明朝"/>
          <w:sz w:val="22"/>
        </w:rPr>
      </w:pPr>
    </w:p>
    <w:sectPr>
      <w:pgSz w:w="11906" w:h="16838"/>
      <w:pgMar w:top="1134" w:right="1134" w:bottom="567" w:left="1134" w:header="851" w:footer="992" w:gutter="0"/>
      <w:cols w:space="72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19"/>
  <w:drawingGridHorizontalSpacing w:val="2"/>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paragraph" w:styleId="18" w:customStyle="1">
    <w:name w:val="contents-lineheight-2"/>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08" w:lineRule="atLeast"/>
      <w:ind w:leftChars="0" w:rightChars="0" w:firstLineChars="0"/>
      <w:contextualSpacing w:val="0"/>
      <w:mirrorIndents w:val="0"/>
      <w:jc w:val="both"/>
      <w:outlineLvl w:val="9"/>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2193</TotalTime>
  <Pages>4</Pages>
  <Words>104</Words>
  <Characters>2524</Characters>
  <Application>JUST Note</Application>
  <Lines>12874</Lines>
  <Paragraphs>171</Paragraphs>
  <Company>城陽市役所</Company>
  <CharactersWithSpaces>2541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（仮称）第３次城陽市総合計画策定支援業務プロポーザル審査委員会設置要綱</dc:title>
  <dc:creator>0835</dc:creator>
  <cp:lastModifiedBy>oguni</cp:lastModifiedBy>
  <cp:lastPrinted>2025-07-30T04:54:09Z</cp:lastPrinted>
  <dcterms:created xsi:type="dcterms:W3CDTF">2008-04-24T05:41:00Z</dcterms:created>
  <dcterms:modified xsi:type="dcterms:W3CDTF">2025-07-30T04:53:52Z</dcterms:modified>
  <cp:revision>116</cp:revision>
</cp:coreProperties>
</file>